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jc w:val="center"/>
        <w:rPr>
          <w:rFonts w:ascii="Arial Narrow" w:cs="Arial Narrow" w:eastAsia="Arial Narrow" w:hAnsi="Arial Narrow"/>
          <w:b w:val="1"/>
          <w:color w:val="404040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28"/>
          <w:szCs w:val="28"/>
          <w:rtl w:val="0"/>
        </w:rPr>
        <w:t xml:space="preserve">Tres claves para que la infraestructura lidere la recuperación en América Latina</w:t>
      </w:r>
      <w:r w:rsidDel="00000000" w:rsidR="00000000" w:rsidRPr="00000000">
        <w:rPr>
          <w:rFonts w:ascii="Arial Narrow" w:cs="Arial Narrow" w:eastAsia="Arial Narrow" w:hAnsi="Arial Narrow"/>
          <w:b w:val="1"/>
          <w:color w:val="404040"/>
          <w:sz w:val="28"/>
          <w:szCs w:val="28"/>
        </w:rPr>
        <w:drawing>
          <wp:inline distB="114300" distT="114300" distL="114300" distR="114300">
            <wp:extent cx="2677950" cy="1781119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950" cy="17811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line="240" w:lineRule="auto"/>
        <w:jc w:val="both"/>
        <w:rPr>
          <w:rFonts w:ascii="Arial Narrow" w:cs="Arial Narrow" w:eastAsia="Arial Narrow" w:hAnsi="Arial Narrow"/>
          <w:i w:val="1"/>
          <w:color w:val="80808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808080"/>
          <w:sz w:val="24"/>
          <w:szCs w:val="24"/>
          <w:rtl w:val="0"/>
        </w:rPr>
        <w:t xml:space="preserve">La inversión del sector público, la atracción y el compromiso del sector privado, y el fortalecimiento institucional son fundamentales para impulsar la generación de empleo, el bienestar de la población y la competitividad de América Latina. CAF -banco de desarrollo de América Latina- apoyó en los últimos 24 años la ejecución de 86 proyectos de infraestructura para la integración, los cuales totalizan una inversión de USD 32.116 millones.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595959"/>
          <w:rtl w:val="0"/>
        </w:rPr>
        <w:t xml:space="preserve">(México, 22 de abril de 2021).</w:t>
      </w:r>
      <w:r w:rsidDel="00000000" w:rsidR="00000000" w:rsidRPr="00000000">
        <w:rPr>
          <w:rFonts w:ascii="Arial Narrow" w:cs="Arial Narrow" w:eastAsia="Arial Narrow" w:hAnsi="Arial Narrow"/>
          <w:i w:val="1"/>
          <w:color w:val="595959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infraestructura juega un rol fundamental en la recuperación económica y social de América Latina tras la crisis que generó la pandemia del COVID-19. Su aporte en la generación de empleo e impulso a otros sectores, la hace prioritaria para los gobiernos y empresas, sin embargo, se requieren proyectos prioritarios y bien estructurados; por eso desde CAF -banco de desarrollo de América Latina- hemos apoyado la preinversión de 8 proyectos de integración regional en 7 países en los que se invertirán más de USD 3.000 millones en los próximos años, señaló Ángel Cárdenas, director de Proyectos Región Sur de CAF.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En sus palabras de apertura en el III Foro Latinoamericano de Infraestructura 20-21 - “Inversión en Infraestructura: Institucionalidad y Movilización de Recursos”, Cárdenas destacó que hay tres claves para que la infraestructura apalanque la recuperación en América Latina: la primera consiste en intervenciones públicas sencillas para generar empleo e ingresos; la segunda en generar una cartera planificada de proyectos prioritarios con adecuada preinversión y atractiva a los inversionistas privados; y la tercera es realizar reformas para un adecuado ambiente de negocios como reglas fiscales para apoyar la inversión pública o la introducción de arreglos institucionales para garantizar la calidad de la planificación e implementación de una estrategia de largo plazo en infraestructura.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movilización de recursos privados hacia la inversión en infraestructura es fundamental para complementar los esfuerzos de los países. La estabilidad macroeconómica y política; la capacidad del sector público de planificar e implementar las iniciativas; los marcos regulatorios claros y contratos con distribución clara de los riesgos y responsabilidades; mecanismos de financiación adecuados: bancos y mercados de capitales; y una adecuada mitigación de riesgos; serán algunas de las medidas que se deberán implementar para atraer dicha inversión en el corto plazo.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Finalmente, Ángel Cárdenas reiteró el compromiso y la experiencia de CAF para seguir apoyando a la región: “En los últimos 24 años, hemos apoyado la ejecución de 86 proyectos de infraestructura para la integración, los cuales totalizan una inversión de USD 32.116 millones, incluyendo USD 12.461 millones (38,9%) con financiamiento directo de CAF. En el sector vial (70%), energía (17%), ferrovías (7%), logística (3%), telecomunicaciones (2%), e hidrovías (0,4%)”, puntualizó.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rFonts w:ascii="Arial Narrow" w:cs="Arial Narrow" w:eastAsia="Arial Narrow" w:hAnsi="Arial Narrow"/>
          <w:i w:val="1"/>
          <w:color w:val="7f7f7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="225.4909090909091" w:lineRule="auto"/>
        <w:jc w:val="both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 es una de las principales fuentes de financiamiento multilateral y un importante generador de conocimiento para la región. Más información en </w:t>
      </w:r>
      <w:hyperlink r:id="rId7">
        <w:r w:rsidDel="00000000" w:rsidR="00000000" w:rsidRPr="00000000">
          <w:rPr>
            <w:rFonts w:ascii="Arial Narrow" w:cs="Arial Narrow" w:eastAsia="Arial Narrow" w:hAnsi="Arial Narrow"/>
            <w:sz w:val="16"/>
            <w:szCs w:val="16"/>
            <w:rtl w:val="0"/>
          </w:rPr>
          <w:t xml:space="preserve">www.caf.com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line="225.4909090909091" w:lineRule="auto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CAF, Dirección de Comunicación Estratégica,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sz w:val="16"/>
            <w:szCs w:val="16"/>
            <w:u w:val="single"/>
            <w:rtl w:val="0"/>
          </w:rPr>
          <w:t xml:space="preserve">prensa@caf.com</w:t>
        </w:r>
      </w:hyperlink>
      <w:r w:rsidDel="00000000" w:rsidR="00000000" w:rsidRPr="00000000">
        <w:rPr>
          <w:rFonts w:ascii="Arial Narrow" w:cs="Arial Narrow" w:eastAsia="Arial Narrow" w:hAnsi="Arial Narrow"/>
          <w:color w:val="1155cc"/>
          <w:sz w:val="16"/>
          <w:szCs w:val="16"/>
          <w:rtl w:val="0"/>
        </w:rPr>
        <w:t xml:space="preserve">                      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Encuéntrenos en: Facebook: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1155cc"/>
            <w:sz w:val="16"/>
            <w:szCs w:val="16"/>
            <w:u w:val="single"/>
            <w:rtl w:val="0"/>
          </w:rPr>
          <w:t xml:space="preserve">CAF.America.Latina</w:t>
        </w:r>
      </w:hyperlink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/ Twitter: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1155cc"/>
            <w:sz w:val="16"/>
            <w:szCs w:val="16"/>
            <w:u w:val="single"/>
            <w:rtl w:val="0"/>
          </w:rPr>
          <w:t xml:space="preserve">@AgendaCAF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225.4909090909091" w:lineRule="auto"/>
        <w:ind w:left="720" w:firstLine="0"/>
        <w:jc w:val="both"/>
        <w:rPr>
          <w:rFonts w:ascii="Arial Narrow" w:cs="Arial Narrow" w:eastAsia="Arial Narrow" w:hAnsi="Arial Narrow"/>
          <w:color w:val="222222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line="240" w:lineRule="auto"/>
      <w:jc w:val="center"/>
      <w:rPr/>
    </w:pPr>
    <w:r w:rsidDel="00000000" w:rsidR="00000000" w:rsidRPr="00000000">
      <w:rPr>
        <w:color w:val="11204c"/>
        <w:sz w:val="20"/>
        <w:szCs w:val="20"/>
      </w:rPr>
      <w:drawing>
        <wp:inline distB="114300" distT="114300" distL="114300" distR="114300">
          <wp:extent cx="2438083" cy="7213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38083" cy="72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twitter.com/AgendaCAF" TargetMode="External"/><Relationship Id="rId9" Type="http://schemas.openxmlformats.org/officeDocument/2006/relationships/hyperlink" Target="https://www.facebook.com/CAF.America.Latina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://www.caf.com/" TargetMode="External"/><Relationship Id="rId8" Type="http://schemas.openxmlformats.org/officeDocument/2006/relationships/hyperlink" Target="mailto:prensa@caf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